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9" w:rsidRDefault="002F1A49" w:rsidP="007C326D">
      <w:pPr>
        <w:jc w:val="center"/>
      </w:pPr>
      <w:r>
        <w:rPr>
          <w:noProof/>
        </w:rPr>
        <w:drawing>
          <wp:inline distT="0" distB="0" distL="0" distR="0">
            <wp:extent cx="1766618" cy="1117965"/>
            <wp:effectExtent l="19050" t="0" r="5032" b="0"/>
            <wp:docPr id="1" name="圖片 1" descr="U:\TeamsFolder\PRA\SEBC\SEBC\social innovation SIEDF\Marketing\Logo\Impact Incubator\Impact incubator logo(full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amsFolder\PRA\SEBC\SEBC\social innovation SIEDF\Marketing\Logo\Impact Incubator\Impact incubator logo(full 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77" cy="11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6D" w:rsidRDefault="007C326D" w:rsidP="007C326D">
      <w:pPr>
        <w:jc w:val="center"/>
      </w:pPr>
    </w:p>
    <w:p w:rsidR="007C326D" w:rsidRPr="004265C4" w:rsidRDefault="001B547E" w:rsidP="004265C4">
      <w:pPr>
        <w:spacing w:line="360" w:lineRule="auto"/>
        <w:jc w:val="center"/>
        <w:rPr>
          <w:rFonts w:eastAsia="標楷體"/>
        </w:rPr>
      </w:pPr>
      <w:r w:rsidRPr="004265C4">
        <w:rPr>
          <w:rFonts w:eastAsia="標楷體" w:hAnsi="標楷體"/>
        </w:rPr>
        <w:t>企業管治計劃書指引</w:t>
      </w:r>
    </w:p>
    <w:p w:rsidR="001B547E" w:rsidRPr="004265C4" w:rsidRDefault="001B547E" w:rsidP="004265C4">
      <w:pPr>
        <w:spacing w:line="360" w:lineRule="auto"/>
        <w:jc w:val="center"/>
        <w:rPr>
          <w:rFonts w:eastAsia="標楷體"/>
        </w:rPr>
      </w:pPr>
      <w:r w:rsidRPr="004265C4">
        <w:rPr>
          <w:rFonts w:eastAsia="標楷體" w:hAnsi="標楷體"/>
        </w:rPr>
        <w:t>適用於公司／團體申請</w:t>
      </w:r>
    </w:p>
    <w:p w:rsidR="001B547E" w:rsidRPr="004265C4" w:rsidRDefault="001B547E" w:rsidP="007C326D">
      <w:pPr>
        <w:jc w:val="both"/>
        <w:rPr>
          <w:rFonts w:eastAsia="標楷體"/>
        </w:rPr>
      </w:pPr>
    </w:p>
    <w:p w:rsidR="001B547E" w:rsidRPr="004265C4" w:rsidRDefault="001B547E" w:rsidP="004265C4">
      <w:pPr>
        <w:ind w:firstLineChars="100" w:firstLine="240"/>
        <w:jc w:val="both"/>
        <w:rPr>
          <w:rFonts w:eastAsia="標楷體"/>
        </w:rPr>
      </w:pPr>
      <w:r w:rsidRPr="004265C4">
        <w:rPr>
          <w:rFonts w:eastAsia="標楷體" w:hAnsi="標楷體"/>
        </w:rPr>
        <w:t>所有以註冊公司／團體</w:t>
      </w:r>
      <w:proofErr w:type="gramStart"/>
      <w:r w:rsidRPr="004265C4">
        <w:rPr>
          <w:rFonts w:eastAsia="標楷體" w:hAnsi="標楷體"/>
        </w:rPr>
        <w:t>申請均需提交</w:t>
      </w:r>
      <w:proofErr w:type="gramEnd"/>
      <w:r w:rsidRPr="004265C4">
        <w:rPr>
          <w:rFonts w:eastAsia="標楷體" w:hAnsi="標楷體"/>
        </w:rPr>
        <w:t>企業管治計劃書</w:t>
      </w:r>
      <w:r w:rsidR="004265C4" w:rsidRPr="004265C4">
        <w:rPr>
          <w:rFonts w:eastAsia="標楷體" w:hAnsi="標楷體"/>
        </w:rPr>
        <w:t>，涵蓋以下七個範疇：</w:t>
      </w:r>
    </w:p>
    <w:p w:rsidR="002F1A49" w:rsidRDefault="002F1A49">
      <w:pPr>
        <w:rPr>
          <w:rFonts w:hint="eastAsia"/>
        </w:rPr>
      </w:pPr>
    </w:p>
    <w:tbl>
      <w:tblPr>
        <w:tblpPr w:leftFromText="180" w:rightFromText="180" w:vertAnchor="text" w:horzAnchor="margin" w:tblpX="413" w:tblpY="27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678"/>
      </w:tblGrid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hAnsi="標楷體" w:cs="Calibri"/>
              </w:rPr>
              <w:t>有關</w:t>
            </w:r>
            <w:r w:rsidRPr="00E16F17">
              <w:rPr>
                <w:rFonts w:eastAsia="標楷體" w:hAnsi="標楷體" w:cs="Calibri" w:hint="eastAsia"/>
              </w:rPr>
              <w:t>董事會</w:t>
            </w:r>
            <w:r w:rsidRPr="00E16F17">
              <w:rPr>
                <w:rFonts w:eastAsia="標楷體" w:hAnsi="標楷體" w:cs="Calibri"/>
              </w:rPr>
              <w:t>架構</w:t>
            </w:r>
            <w:r w:rsidRPr="00E16F17">
              <w:rPr>
                <w:rFonts w:eastAsia="標楷體" w:cs="Calibri" w:hint="eastAsia"/>
              </w:rPr>
              <w:t>及組成</w:t>
            </w:r>
            <w:r w:rsidRPr="00E16F17">
              <w:rPr>
                <w:rFonts w:eastAsia="標楷體" w:cs="Calibri" w:hint="eastAsia"/>
              </w:rPr>
              <w:t xml:space="preserve"> 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2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董事會及管理層的職權及角色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2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董事會的組成</w:t>
            </w:r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hAnsi="標楷體" w:cs="Calibri"/>
              </w:rPr>
            </w:pPr>
            <w:r w:rsidRPr="00E16F17">
              <w:rPr>
                <w:rFonts w:eastAsia="標楷體" w:hAnsi="標楷體" w:cs="Calibri" w:hint="eastAsia"/>
              </w:rPr>
              <w:t>有關董事會運作及效能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3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專責委員會的執行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3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利益申報</w:t>
            </w:r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策略、規劃及監察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4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清晰的目標及執行計劃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4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有效的財務管理及監察</w:t>
            </w:r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透明度及資料發放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5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資訊儲存及發放、資訊的透明度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5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定期及適時的報告</w:t>
            </w:r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社會期望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6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機構</w:t>
            </w:r>
            <w:r w:rsidRPr="00E16F17">
              <w:rPr>
                <w:rFonts w:eastAsia="標楷體" w:cs="Calibri" w:hint="eastAsia"/>
              </w:rPr>
              <w:t>/</w:t>
            </w:r>
            <w:r w:rsidRPr="00E16F17">
              <w:rPr>
                <w:rFonts w:eastAsia="標楷體" w:cs="Calibri" w:hint="eastAsia"/>
              </w:rPr>
              <w:t>計劃的社會目標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6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機構</w:t>
            </w:r>
            <w:r w:rsidRPr="00E16F17">
              <w:rPr>
                <w:rFonts w:eastAsia="標楷體" w:cs="Calibri" w:hint="eastAsia"/>
              </w:rPr>
              <w:t>/</w:t>
            </w:r>
            <w:r w:rsidRPr="00E16F17">
              <w:rPr>
                <w:rFonts w:eastAsia="標楷體" w:cs="Calibri" w:hint="eastAsia"/>
              </w:rPr>
              <w:t>計劃對公眾及政府</w:t>
            </w:r>
            <w:proofErr w:type="gramStart"/>
            <w:r w:rsidRPr="00E16F17">
              <w:rPr>
                <w:rFonts w:eastAsia="標楷體" w:cs="Calibri" w:hint="eastAsia"/>
              </w:rPr>
              <w:t>的問責</w:t>
            </w:r>
            <w:proofErr w:type="gramEnd"/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潛在危機及解決方案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7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應付潛在危機的解決方案</w:t>
            </w:r>
          </w:p>
          <w:p w:rsidR="004265C4" w:rsidRPr="00E16F17" w:rsidRDefault="004265C4" w:rsidP="004265C4">
            <w:pPr>
              <w:widowControl w:val="0"/>
              <w:numPr>
                <w:ilvl w:val="0"/>
                <w:numId w:val="7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獨立審計及內部監控</w:t>
            </w:r>
          </w:p>
        </w:tc>
      </w:tr>
      <w:tr w:rsidR="004265C4" w:rsidRPr="00E16F17" w:rsidTr="004265C4">
        <w:trPr>
          <w:trHeight w:val="479"/>
        </w:trPr>
        <w:tc>
          <w:tcPr>
            <w:tcW w:w="4077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9"/>
              </w:numPr>
              <w:spacing w:line="276" w:lineRule="auto"/>
              <w:ind w:leftChars="177" w:left="1100" w:rightChars="107" w:right="257" w:hanging="675"/>
              <w:rPr>
                <w:rFonts w:eastAsia="標楷體" w:cs="Calibri" w:hint="eastAsia"/>
              </w:rPr>
            </w:pPr>
            <w:r w:rsidRPr="00E16F17">
              <w:rPr>
                <w:rFonts w:eastAsia="標楷體" w:hAnsi="標楷體" w:cs="Calibri"/>
              </w:rPr>
              <w:t>有關法律責任的指引</w:t>
            </w:r>
          </w:p>
        </w:tc>
        <w:tc>
          <w:tcPr>
            <w:tcW w:w="4678" w:type="dxa"/>
          </w:tcPr>
          <w:p w:rsidR="004265C4" w:rsidRPr="00E16F17" w:rsidRDefault="004265C4" w:rsidP="004265C4">
            <w:pPr>
              <w:widowControl w:val="0"/>
              <w:numPr>
                <w:ilvl w:val="0"/>
                <w:numId w:val="8"/>
              </w:numPr>
              <w:spacing w:line="276" w:lineRule="auto"/>
              <w:ind w:leftChars="177" w:left="905" w:rightChars="107" w:right="257"/>
              <w:rPr>
                <w:rFonts w:eastAsia="標楷體" w:cs="Calibri" w:hint="eastAsia"/>
              </w:rPr>
            </w:pPr>
            <w:r w:rsidRPr="00E16F17">
              <w:rPr>
                <w:rFonts w:eastAsia="標楷體" w:cs="Calibri" w:hint="eastAsia"/>
              </w:rPr>
              <w:t>所遵守的法例</w:t>
            </w:r>
          </w:p>
        </w:tc>
      </w:tr>
    </w:tbl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Pr="007C326D" w:rsidRDefault="004265C4"/>
    <w:p w:rsidR="002F1A49" w:rsidRDefault="002F1A49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Default="004265C4">
      <w:pPr>
        <w:rPr>
          <w:rFonts w:hint="eastAsia"/>
        </w:rPr>
      </w:pPr>
    </w:p>
    <w:p w:rsidR="004265C4" w:rsidRPr="004265C4" w:rsidRDefault="004265C4">
      <w:pPr>
        <w:rPr>
          <w:rFonts w:ascii="標楷體" w:eastAsia="標楷體" w:hAnsi="標楷體" w:hint="eastAsia"/>
        </w:rPr>
      </w:pPr>
    </w:p>
    <w:p w:rsidR="004265C4" w:rsidRPr="004265C4" w:rsidRDefault="004265C4">
      <w:pPr>
        <w:rPr>
          <w:rFonts w:ascii="標楷體" w:eastAsia="標楷體" w:hAnsi="標楷體"/>
        </w:rPr>
      </w:pPr>
    </w:p>
    <w:p w:rsidR="00FF065F" w:rsidRPr="004265C4" w:rsidRDefault="004265C4">
      <w:pPr>
        <w:rPr>
          <w:rFonts w:ascii="標楷體" w:eastAsia="標楷體" w:hAnsi="標楷體"/>
          <w:u w:val="single"/>
        </w:rPr>
      </w:pPr>
      <w:r w:rsidRPr="004265C4">
        <w:rPr>
          <w:rFonts w:ascii="標楷體" w:eastAsia="標楷體" w:hAnsi="標楷體" w:hint="eastAsia"/>
          <w:u w:val="single"/>
        </w:rPr>
        <w:t>參考資料</w:t>
      </w:r>
    </w:p>
    <w:p w:rsidR="00CD5492" w:rsidRPr="000D617C" w:rsidRDefault="00CD5492" w:rsidP="000D617C">
      <w:pPr>
        <w:pStyle w:val="Default"/>
        <w:ind w:rightChars="57" w:right="137"/>
        <w:jc w:val="both"/>
        <w:rPr>
          <w:sz w:val="16"/>
          <w:szCs w:val="16"/>
        </w:rPr>
      </w:pPr>
      <w:r w:rsidRPr="000D617C">
        <w:rPr>
          <w:bCs/>
          <w:sz w:val="16"/>
          <w:szCs w:val="16"/>
        </w:rPr>
        <w:t xml:space="preserve">Guidelines on Corporate Governance for SMEs in Hong Kong </w:t>
      </w:r>
      <w:r w:rsidRPr="000D617C">
        <w:rPr>
          <w:sz w:val="16"/>
          <w:szCs w:val="16"/>
        </w:rPr>
        <w:t>(2nd Edition)</w:t>
      </w:r>
      <w:r w:rsidR="004265C4">
        <w:rPr>
          <w:rFonts w:hint="eastAsia"/>
          <w:sz w:val="16"/>
          <w:szCs w:val="16"/>
        </w:rPr>
        <w:t xml:space="preserve">　只有英文版本</w:t>
      </w:r>
    </w:p>
    <w:p w:rsidR="00CD5492" w:rsidRPr="000D617C" w:rsidRDefault="00054FD4" w:rsidP="000D617C">
      <w:pPr>
        <w:ind w:rightChars="57" w:right="137"/>
        <w:jc w:val="both"/>
        <w:rPr>
          <w:i/>
          <w:iCs/>
          <w:sz w:val="16"/>
          <w:szCs w:val="16"/>
        </w:rPr>
      </w:pPr>
      <w:hyperlink r:id="rId8" w:history="1">
        <w:r w:rsidR="00CD5492" w:rsidRPr="000D617C">
          <w:rPr>
            <w:rStyle w:val="a9"/>
            <w:i/>
            <w:iCs/>
            <w:sz w:val="16"/>
            <w:szCs w:val="16"/>
          </w:rPr>
          <w:t>http://www.hkiod.com/document/corporateguide/sme_guidelines_eng.pdf</w:t>
        </w:r>
      </w:hyperlink>
    </w:p>
    <w:p w:rsidR="000D617C" w:rsidRPr="000D617C" w:rsidRDefault="005623C8" w:rsidP="000D617C">
      <w:pPr>
        <w:rPr>
          <w:sz w:val="16"/>
          <w:szCs w:val="16"/>
        </w:rPr>
      </w:pPr>
      <w:r w:rsidRPr="000D617C">
        <w:rPr>
          <w:sz w:val="16"/>
          <w:szCs w:val="16"/>
        </w:rPr>
        <w:t>Assessment Matrix Reference Guide on Standard, Criteria Assessment Indicators and Assessment Steps for Service Quality Standards (SQSs)</w:t>
      </w:r>
    </w:p>
    <w:p w:rsidR="005623C8" w:rsidRPr="000D617C" w:rsidRDefault="00054FD4" w:rsidP="000D617C">
      <w:pPr>
        <w:rPr>
          <w:sz w:val="16"/>
          <w:szCs w:val="16"/>
        </w:rPr>
      </w:pPr>
      <w:hyperlink r:id="rId9" w:history="1">
        <w:r w:rsidR="005623C8" w:rsidRPr="000D617C">
          <w:rPr>
            <w:rStyle w:val="a9"/>
            <w:sz w:val="16"/>
            <w:szCs w:val="16"/>
          </w:rPr>
          <w:t>http://www.swd.gov.hk/doc/assmt16_e/guide.pdf</w:t>
        </w:r>
      </w:hyperlink>
      <w:r w:rsidR="004265C4">
        <w:rPr>
          <w:rFonts w:hint="eastAsia"/>
        </w:rPr>
        <w:t xml:space="preserve">　</w:t>
      </w:r>
      <w:r w:rsidR="004265C4">
        <w:rPr>
          <w:rFonts w:hint="eastAsia"/>
          <w:sz w:val="16"/>
          <w:szCs w:val="16"/>
        </w:rPr>
        <w:t>只有英文版本</w:t>
      </w:r>
    </w:p>
    <w:p w:rsidR="005623C8" w:rsidRPr="000D617C" w:rsidRDefault="005623C8" w:rsidP="000D617C">
      <w:pPr>
        <w:rPr>
          <w:sz w:val="16"/>
          <w:szCs w:val="16"/>
        </w:rPr>
      </w:pPr>
      <w:r w:rsidRPr="000D617C">
        <w:rPr>
          <w:sz w:val="16"/>
          <w:szCs w:val="16"/>
        </w:rPr>
        <w:t>Guide on Inter</w:t>
      </w:r>
      <w:r w:rsidR="000D617C" w:rsidRPr="000D617C">
        <w:rPr>
          <w:sz w:val="16"/>
          <w:szCs w:val="16"/>
        </w:rPr>
        <w:t xml:space="preserve">nal Control and Risk Management </w:t>
      </w:r>
      <w:proofErr w:type="gramStart"/>
      <w:r w:rsidR="000D617C" w:rsidRPr="000D617C">
        <w:rPr>
          <w:sz w:val="16"/>
          <w:szCs w:val="16"/>
        </w:rPr>
        <w:t>–</w:t>
      </w:r>
      <w:proofErr w:type="gramEnd"/>
      <w:r w:rsidR="000D617C" w:rsidRPr="000D617C">
        <w:rPr>
          <w:sz w:val="16"/>
          <w:szCs w:val="16"/>
        </w:rPr>
        <w:t xml:space="preserve"> A Basic Framework, by</w:t>
      </w:r>
      <w:r w:rsidRPr="000D617C">
        <w:rPr>
          <w:sz w:val="16"/>
          <w:szCs w:val="16"/>
        </w:rPr>
        <w:t xml:space="preserve"> Hong Kong Institute of Certified Public Accountants</w:t>
      </w:r>
      <w:r w:rsidR="004265C4">
        <w:rPr>
          <w:rFonts w:hint="eastAsia"/>
          <w:sz w:val="16"/>
          <w:szCs w:val="16"/>
        </w:rPr>
        <w:t>只有英文版本</w:t>
      </w:r>
    </w:p>
    <w:p w:rsidR="005623C8" w:rsidRPr="000D617C" w:rsidRDefault="00054FD4" w:rsidP="000D617C">
      <w:pPr>
        <w:rPr>
          <w:sz w:val="16"/>
          <w:szCs w:val="16"/>
        </w:rPr>
      </w:pPr>
      <w:hyperlink r:id="rId10" w:history="1">
        <w:r w:rsidR="005623C8" w:rsidRPr="000D617C">
          <w:rPr>
            <w:rStyle w:val="a9"/>
            <w:sz w:val="16"/>
            <w:szCs w:val="16"/>
          </w:rPr>
          <w:t>http://www.hkicpa.org.hk/file/media/section4_cpd/Continuing%20Professinoal%20Development%20Programme%20(CPD)/Guide_Eng_August.pdf</w:t>
        </w:r>
      </w:hyperlink>
      <w:r w:rsidR="005623C8" w:rsidRPr="000D617C">
        <w:rPr>
          <w:sz w:val="16"/>
          <w:szCs w:val="16"/>
        </w:rPr>
        <w:t xml:space="preserve"> </w:t>
      </w:r>
    </w:p>
    <w:sectPr w:rsidR="005623C8" w:rsidRPr="000D617C" w:rsidSect="000D617C">
      <w:headerReference w:type="default" r:id="rId11"/>
      <w:pgSz w:w="11906" w:h="16838"/>
      <w:pgMar w:top="567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81" w:rsidRDefault="00E06581" w:rsidP="007C326D">
      <w:r>
        <w:separator/>
      </w:r>
    </w:p>
  </w:endnote>
  <w:endnote w:type="continuationSeparator" w:id="0">
    <w:p w:rsidR="00E06581" w:rsidRDefault="00E06581" w:rsidP="007C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81" w:rsidRDefault="00E06581" w:rsidP="007C326D">
      <w:r>
        <w:separator/>
      </w:r>
    </w:p>
  </w:footnote>
  <w:footnote w:type="continuationSeparator" w:id="0">
    <w:p w:rsidR="00E06581" w:rsidRDefault="00E06581" w:rsidP="007C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6D" w:rsidRDefault="007C326D" w:rsidP="007C326D">
    <w:pPr>
      <w:pStyle w:val="a5"/>
      <w:jc w:val="right"/>
    </w:pPr>
    <w:r>
      <w:rPr>
        <w:rFonts w:hint="eastAsia"/>
      </w:rPr>
      <w:t>2015</w:t>
    </w:r>
    <w:r w:rsidR="00D469DE">
      <w:rPr>
        <w:rFonts w:hint="eastAsia"/>
      </w:rPr>
      <w:t>年</w:t>
    </w:r>
    <w:r w:rsidR="00D469DE">
      <w:rPr>
        <w:rFonts w:hint="eastAsia"/>
      </w:rPr>
      <w:t>3</w:t>
    </w:r>
    <w:r w:rsidR="00D469DE" w:rsidRPr="00D469DE">
      <w:rPr>
        <w:rFonts w:ascii="標楷體" w:eastAsia="標楷體" w:hAnsi="標楷體" w:hint="eastAsia"/>
      </w:rPr>
      <w:t>月建立</w:t>
    </w:r>
  </w:p>
  <w:p w:rsidR="007C326D" w:rsidRDefault="007C32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05"/>
    <w:multiLevelType w:val="hybridMultilevel"/>
    <w:tmpl w:val="0EAEA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8A4ED0"/>
    <w:multiLevelType w:val="hybridMultilevel"/>
    <w:tmpl w:val="6F685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D478BF"/>
    <w:multiLevelType w:val="hybridMultilevel"/>
    <w:tmpl w:val="6A9431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5163E2"/>
    <w:multiLevelType w:val="hybridMultilevel"/>
    <w:tmpl w:val="23E67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5752D9"/>
    <w:multiLevelType w:val="hybridMultilevel"/>
    <w:tmpl w:val="732A6CB8"/>
    <w:lvl w:ilvl="0" w:tplc="2E306822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D8626D"/>
    <w:multiLevelType w:val="hybridMultilevel"/>
    <w:tmpl w:val="88304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AC185A"/>
    <w:multiLevelType w:val="hybridMultilevel"/>
    <w:tmpl w:val="FA10FB0A"/>
    <w:lvl w:ilvl="0" w:tplc="FCC474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AD00B7"/>
    <w:multiLevelType w:val="hybridMultilevel"/>
    <w:tmpl w:val="20327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6CE12B7"/>
    <w:multiLevelType w:val="hybridMultilevel"/>
    <w:tmpl w:val="35BA9F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49"/>
    <w:rsid w:val="00054FD4"/>
    <w:rsid w:val="000D41E9"/>
    <w:rsid w:val="000D617C"/>
    <w:rsid w:val="001B547E"/>
    <w:rsid w:val="002F1A49"/>
    <w:rsid w:val="003A4D52"/>
    <w:rsid w:val="004265C4"/>
    <w:rsid w:val="005623C8"/>
    <w:rsid w:val="005E6ED2"/>
    <w:rsid w:val="00667D22"/>
    <w:rsid w:val="007C326D"/>
    <w:rsid w:val="008D5058"/>
    <w:rsid w:val="009F06EE"/>
    <w:rsid w:val="00CD5492"/>
    <w:rsid w:val="00D469DE"/>
    <w:rsid w:val="00DD48CC"/>
    <w:rsid w:val="00E06581"/>
    <w:rsid w:val="00EC0E6D"/>
    <w:rsid w:val="00EE7990"/>
    <w:rsid w:val="00F44BE7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2F1A49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2F1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A4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32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326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CD5492"/>
    <w:rPr>
      <w:color w:val="0000FF"/>
      <w:u w:val="single"/>
    </w:rPr>
  </w:style>
  <w:style w:type="paragraph" w:customStyle="1" w:styleId="Default">
    <w:name w:val="Default"/>
    <w:rsid w:val="00CD54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od.com/document/corporateguide/sme_guidelines_e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kicpa.org.hk/file/media/section4_cpd/Continuing%20Professinoal%20Development%20Programme%20(CPD)/Guide_Eng_Augu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d.gov.hk/doc/assmt16_e/guid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s0526</dc:creator>
  <cp:keywords/>
  <dc:description/>
  <cp:lastModifiedBy>s0526</cp:lastModifiedBy>
  <cp:revision>9</cp:revision>
  <cp:lastPrinted>2015-03-26T03:28:00Z</cp:lastPrinted>
  <dcterms:created xsi:type="dcterms:W3CDTF">2015-03-31T04:19:00Z</dcterms:created>
  <dcterms:modified xsi:type="dcterms:W3CDTF">2015-03-31T04:37:00Z</dcterms:modified>
</cp:coreProperties>
</file>